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892" w:type="dxa"/>
        <w:tblInd w:w="137" w:type="dxa"/>
        <w:tblLayout w:type="fixed"/>
        <w:tblLook w:val="04A0" w:firstRow="1" w:lastRow="0" w:firstColumn="1" w:lastColumn="0" w:noHBand="0" w:noVBand="1"/>
      </w:tblPr>
      <w:tblGrid>
        <w:gridCol w:w="2126"/>
        <w:gridCol w:w="2835"/>
        <w:gridCol w:w="2552"/>
        <w:gridCol w:w="3118"/>
        <w:gridCol w:w="3261"/>
      </w:tblGrid>
      <w:tr w:rsidR="00094EED" w14:paraId="5E0D7856" w14:textId="77777777" w:rsidTr="000775C9">
        <w:tc>
          <w:tcPr>
            <w:tcW w:w="2126" w:type="dxa"/>
          </w:tcPr>
          <w:p w14:paraId="2E9A2DB2" w14:textId="77777777" w:rsidR="00094EED" w:rsidRDefault="00094EED"/>
        </w:tc>
        <w:tc>
          <w:tcPr>
            <w:tcW w:w="2835" w:type="dxa"/>
          </w:tcPr>
          <w:p w14:paraId="6BD7C606" w14:textId="6F70B0B1" w:rsidR="00094EED" w:rsidRPr="007A79C7" w:rsidRDefault="007A79C7">
            <w:pPr>
              <w:rPr>
                <w:b/>
                <w:bCs/>
              </w:rPr>
            </w:pPr>
            <w:r w:rsidRPr="007A79C7">
              <w:rPr>
                <w:b/>
                <w:bCs/>
              </w:rPr>
              <w:t>LIVRET A</w:t>
            </w:r>
          </w:p>
        </w:tc>
        <w:tc>
          <w:tcPr>
            <w:tcW w:w="2552" w:type="dxa"/>
          </w:tcPr>
          <w:p w14:paraId="4FD4D581" w14:textId="557CBF32" w:rsidR="00094EED" w:rsidRPr="007A79C7" w:rsidRDefault="007A79C7">
            <w:pPr>
              <w:rPr>
                <w:b/>
                <w:bCs/>
              </w:rPr>
            </w:pPr>
            <w:r w:rsidRPr="007A79C7">
              <w:rPr>
                <w:b/>
                <w:bCs/>
              </w:rPr>
              <w:t>LDDS</w:t>
            </w:r>
          </w:p>
        </w:tc>
        <w:tc>
          <w:tcPr>
            <w:tcW w:w="3118" w:type="dxa"/>
          </w:tcPr>
          <w:p w14:paraId="330FA37C" w14:textId="652ABC0F" w:rsidR="00094EED" w:rsidRPr="007A79C7" w:rsidRDefault="007A79C7">
            <w:pPr>
              <w:rPr>
                <w:b/>
                <w:bCs/>
              </w:rPr>
            </w:pPr>
            <w:r w:rsidRPr="007A79C7">
              <w:rPr>
                <w:b/>
                <w:bCs/>
              </w:rPr>
              <w:t>LIVRET JEUNE</w:t>
            </w:r>
          </w:p>
        </w:tc>
        <w:tc>
          <w:tcPr>
            <w:tcW w:w="3261" w:type="dxa"/>
          </w:tcPr>
          <w:p w14:paraId="79FF9BEB" w14:textId="5F4F50FE" w:rsidR="00094EED" w:rsidRPr="007A79C7" w:rsidRDefault="007A79C7">
            <w:pPr>
              <w:rPr>
                <w:b/>
                <w:bCs/>
              </w:rPr>
            </w:pPr>
            <w:r w:rsidRPr="007A79C7">
              <w:rPr>
                <w:b/>
                <w:bCs/>
              </w:rPr>
              <w:t>LIVRET D’EPARGNE POPULAIRE (LEP)</w:t>
            </w:r>
          </w:p>
        </w:tc>
      </w:tr>
      <w:tr w:rsidR="000775C9" w14:paraId="55DB4229" w14:textId="77777777" w:rsidTr="000775C9">
        <w:tc>
          <w:tcPr>
            <w:tcW w:w="2126" w:type="dxa"/>
            <w:shd w:val="clear" w:color="auto" w:fill="D5DCE4" w:themeFill="text2" w:themeFillTint="33"/>
          </w:tcPr>
          <w:p w14:paraId="45CE5FB9" w14:textId="37359BF4" w:rsidR="00094EED" w:rsidRPr="00D91DB7" w:rsidRDefault="00D91DB7">
            <w:pPr>
              <w:rPr>
                <w:b/>
                <w:bCs/>
              </w:rPr>
            </w:pPr>
            <w:r w:rsidRPr="00D91DB7">
              <w:rPr>
                <w:b/>
                <w:bCs/>
              </w:rPr>
              <w:t>CARACTERISTIQUES</w:t>
            </w:r>
          </w:p>
        </w:tc>
        <w:tc>
          <w:tcPr>
            <w:tcW w:w="2835" w:type="dxa"/>
            <w:shd w:val="clear" w:color="auto" w:fill="D5DCE4" w:themeFill="text2" w:themeFillTint="33"/>
          </w:tcPr>
          <w:p w14:paraId="193B05F0" w14:textId="77777777" w:rsidR="00094EED" w:rsidRPr="007A79C7" w:rsidRDefault="00094EED">
            <w:pPr>
              <w:rPr>
                <w:b/>
                <w:bCs/>
              </w:rPr>
            </w:pPr>
          </w:p>
        </w:tc>
        <w:tc>
          <w:tcPr>
            <w:tcW w:w="2552" w:type="dxa"/>
            <w:shd w:val="clear" w:color="auto" w:fill="D5DCE4" w:themeFill="text2" w:themeFillTint="33"/>
          </w:tcPr>
          <w:p w14:paraId="085F97D7" w14:textId="77777777" w:rsidR="00094EED" w:rsidRPr="007A79C7" w:rsidRDefault="00094EED">
            <w:pPr>
              <w:rPr>
                <w:b/>
                <w:bCs/>
              </w:rPr>
            </w:pPr>
          </w:p>
        </w:tc>
        <w:tc>
          <w:tcPr>
            <w:tcW w:w="3118" w:type="dxa"/>
            <w:shd w:val="clear" w:color="auto" w:fill="D5DCE4" w:themeFill="text2" w:themeFillTint="33"/>
          </w:tcPr>
          <w:p w14:paraId="5650C9CD" w14:textId="77777777" w:rsidR="00094EED" w:rsidRPr="007A79C7" w:rsidRDefault="00094EED">
            <w:pPr>
              <w:rPr>
                <w:b/>
                <w:bCs/>
              </w:rPr>
            </w:pPr>
          </w:p>
        </w:tc>
        <w:tc>
          <w:tcPr>
            <w:tcW w:w="3261" w:type="dxa"/>
            <w:shd w:val="clear" w:color="auto" w:fill="D5DCE4" w:themeFill="text2" w:themeFillTint="33"/>
          </w:tcPr>
          <w:p w14:paraId="745AAE3D" w14:textId="77777777" w:rsidR="00094EED" w:rsidRPr="007A79C7" w:rsidRDefault="00094EED">
            <w:pPr>
              <w:rPr>
                <w:b/>
                <w:bCs/>
              </w:rPr>
            </w:pPr>
          </w:p>
        </w:tc>
      </w:tr>
      <w:tr w:rsidR="00CD6637" w14:paraId="2673854B" w14:textId="77777777" w:rsidTr="000775C9">
        <w:tc>
          <w:tcPr>
            <w:tcW w:w="2126" w:type="dxa"/>
          </w:tcPr>
          <w:p w14:paraId="79DAD70F" w14:textId="1D5803D7" w:rsidR="00CD6637" w:rsidRDefault="00CD6637">
            <w:r>
              <w:t>Conditions d’ouverture</w:t>
            </w:r>
          </w:p>
        </w:tc>
        <w:tc>
          <w:tcPr>
            <w:tcW w:w="2835" w:type="dxa"/>
          </w:tcPr>
          <w:p w14:paraId="5B795E19" w14:textId="1EB7D98E" w:rsidR="00CD6637" w:rsidRDefault="00CD6637">
            <w:r>
              <w:t>Personne physique majeure ou mineure</w:t>
            </w:r>
            <w:r w:rsidR="00E37C02">
              <w:rPr>
                <w:rStyle w:val="Appelnotedebasdep"/>
              </w:rPr>
              <w:footnoteReference w:id="1"/>
            </w:r>
          </w:p>
        </w:tc>
        <w:tc>
          <w:tcPr>
            <w:tcW w:w="2552" w:type="dxa"/>
          </w:tcPr>
          <w:p w14:paraId="5A1BC477" w14:textId="23BDB558" w:rsidR="00CD6637" w:rsidRDefault="00F2361C">
            <w:r>
              <w:t xml:space="preserve">Personne physique majeure ayant son domicile fiscal en France </w:t>
            </w:r>
            <w:r>
              <w:rPr>
                <w:rStyle w:val="Appelnotedebasdep"/>
              </w:rPr>
              <w:footnoteReference w:id="2"/>
            </w:r>
          </w:p>
        </w:tc>
        <w:tc>
          <w:tcPr>
            <w:tcW w:w="3118" w:type="dxa"/>
          </w:tcPr>
          <w:p w14:paraId="76B00AA1" w14:textId="77777777" w:rsidR="00CD6637" w:rsidRDefault="00BD1909">
            <w:r>
              <w:t xml:space="preserve">Personne physique âgée de 12 à 25 ans </w:t>
            </w:r>
          </w:p>
          <w:p w14:paraId="764CEBD5" w14:textId="2E8715F7" w:rsidR="001417B6" w:rsidRDefault="001417B6">
            <w:r>
              <w:t>Autorisation parentale pour les moins de 16 ans</w:t>
            </w:r>
          </w:p>
        </w:tc>
        <w:tc>
          <w:tcPr>
            <w:tcW w:w="3261" w:type="dxa"/>
          </w:tcPr>
          <w:p w14:paraId="00004C16" w14:textId="2CC674B3" w:rsidR="00CD6637" w:rsidRDefault="00561051">
            <w:r>
              <w:t>Personne physique majeur domicilié fiscalement en France et qui respecte les conditions de revenu.</w:t>
            </w:r>
            <w:r w:rsidR="00B378A1">
              <w:t xml:space="preserve"> Le revenu fiscal de référence ne doit pas dépasser </w:t>
            </w:r>
          </w:p>
        </w:tc>
      </w:tr>
      <w:tr w:rsidR="00094EED" w14:paraId="0ACCF971" w14:textId="77777777" w:rsidTr="000775C9">
        <w:tc>
          <w:tcPr>
            <w:tcW w:w="2126" w:type="dxa"/>
          </w:tcPr>
          <w:p w14:paraId="7B9D4DEF" w14:textId="77777777" w:rsidR="00094EED" w:rsidRDefault="00094EED">
            <w:r>
              <w:t>Taux d’intérêt</w:t>
            </w:r>
          </w:p>
          <w:p w14:paraId="5785FD3A" w14:textId="4D7AD07E" w:rsidR="005803DD" w:rsidRDefault="005803DD"/>
        </w:tc>
        <w:tc>
          <w:tcPr>
            <w:tcW w:w="2835" w:type="dxa"/>
          </w:tcPr>
          <w:p w14:paraId="4A508E35" w14:textId="64AA8584" w:rsidR="005803DD" w:rsidRDefault="00CD6637" w:rsidP="005803DD">
            <w:r>
              <w:t>3</w:t>
            </w:r>
            <w:r w:rsidR="00B74D63">
              <w:t>% Calculé</w:t>
            </w:r>
            <w:r w:rsidR="005803DD">
              <w:t xml:space="preserve"> par quinzaine</w:t>
            </w:r>
          </w:p>
        </w:tc>
        <w:tc>
          <w:tcPr>
            <w:tcW w:w="2552" w:type="dxa"/>
          </w:tcPr>
          <w:p w14:paraId="0F6C75ED" w14:textId="35417F8A" w:rsidR="00094EED" w:rsidRDefault="00FC488D">
            <w:r>
              <w:t>3%</w:t>
            </w:r>
            <w:r w:rsidR="005803DD">
              <w:t xml:space="preserve"> Calculé par quinzaine</w:t>
            </w:r>
          </w:p>
        </w:tc>
        <w:tc>
          <w:tcPr>
            <w:tcW w:w="3118" w:type="dxa"/>
          </w:tcPr>
          <w:p w14:paraId="5DA817F9" w14:textId="77777777" w:rsidR="00094EED" w:rsidRDefault="00FC488D">
            <w:r>
              <w:t xml:space="preserve"> Au moins le taux du livret A</w:t>
            </w:r>
          </w:p>
          <w:p w14:paraId="4EF4C370" w14:textId="14AC811A" w:rsidR="005803DD" w:rsidRDefault="005803DD">
            <w:r>
              <w:t>Calculé par quinzaine</w:t>
            </w:r>
          </w:p>
        </w:tc>
        <w:tc>
          <w:tcPr>
            <w:tcW w:w="3261" w:type="dxa"/>
          </w:tcPr>
          <w:p w14:paraId="1EFA7E53" w14:textId="764987A2" w:rsidR="00094EED" w:rsidRDefault="008F0330">
            <w:r>
              <w:t>5</w:t>
            </w:r>
            <w:r w:rsidR="000D367A">
              <w:t xml:space="preserve"> </w:t>
            </w:r>
            <w:r w:rsidR="00FC488D">
              <w:t>%</w:t>
            </w:r>
            <w:r w:rsidR="005803DD">
              <w:t xml:space="preserve"> Calculé par quinzaine</w:t>
            </w:r>
          </w:p>
        </w:tc>
      </w:tr>
      <w:tr w:rsidR="00094EED" w14:paraId="44B15365" w14:textId="77777777" w:rsidTr="000775C9">
        <w:tc>
          <w:tcPr>
            <w:tcW w:w="2126" w:type="dxa"/>
          </w:tcPr>
          <w:p w14:paraId="748A1BDF" w14:textId="30DB78FF" w:rsidR="00094EED" w:rsidRDefault="00094EED">
            <w:r>
              <w:t>Plafond de versement</w:t>
            </w:r>
          </w:p>
        </w:tc>
        <w:tc>
          <w:tcPr>
            <w:tcW w:w="2835" w:type="dxa"/>
          </w:tcPr>
          <w:p w14:paraId="715C2036" w14:textId="7C581ED1" w:rsidR="00094EED" w:rsidRDefault="00FC488D">
            <w:r>
              <w:t>22 950 €</w:t>
            </w:r>
          </w:p>
        </w:tc>
        <w:tc>
          <w:tcPr>
            <w:tcW w:w="2552" w:type="dxa"/>
          </w:tcPr>
          <w:p w14:paraId="764CAE87" w14:textId="310DB1C3" w:rsidR="00094EED" w:rsidRDefault="00E37C02">
            <w:r>
              <w:t>12 000</w:t>
            </w:r>
            <w:r w:rsidR="00FC488D">
              <w:t xml:space="preserve"> €</w:t>
            </w:r>
          </w:p>
        </w:tc>
        <w:tc>
          <w:tcPr>
            <w:tcW w:w="3118" w:type="dxa"/>
          </w:tcPr>
          <w:p w14:paraId="76D05512" w14:textId="12D582AE" w:rsidR="00094EED" w:rsidRDefault="00FC488D">
            <w:r>
              <w:t>1 600 €</w:t>
            </w:r>
          </w:p>
        </w:tc>
        <w:tc>
          <w:tcPr>
            <w:tcW w:w="3261" w:type="dxa"/>
          </w:tcPr>
          <w:p w14:paraId="315C8043" w14:textId="44A6D5F4" w:rsidR="00094EED" w:rsidRDefault="00EB0ADA">
            <w:r>
              <w:t>10 000 € (au 1</w:t>
            </w:r>
            <w:r w:rsidRPr="00EB0ADA">
              <w:rPr>
                <w:vertAlign w:val="superscript"/>
              </w:rPr>
              <w:t>er</w:t>
            </w:r>
            <w:r>
              <w:t xml:space="preserve"> octobre 2023)</w:t>
            </w:r>
          </w:p>
        </w:tc>
      </w:tr>
      <w:tr w:rsidR="00094EED" w14:paraId="04490E25" w14:textId="77777777" w:rsidTr="000775C9">
        <w:tc>
          <w:tcPr>
            <w:tcW w:w="2126" w:type="dxa"/>
          </w:tcPr>
          <w:p w14:paraId="61D9275A" w14:textId="468C3E9E" w:rsidR="00094EED" w:rsidRDefault="00094EED">
            <w:r>
              <w:t>Versement minimum à l’ouverture</w:t>
            </w:r>
          </w:p>
        </w:tc>
        <w:tc>
          <w:tcPr>
            <w:tcW w:w="2835" w:type="dxa"/>
          </w:tcPr>
          <w:p w14:paraId="62C7837B" w14:textId="17A63BFF" w:rsidR="00094EED" w:rsidRDefault="006C6203">
            <w:r>
              <w:t>10 € (1.5 € à la Banque Postale</w:t>
            </w:r>
          </w:p>
        </w:tc>
        <w:tc>
          <w:tcPr>
            <w:tcW w:w="2552" w:type="dxa"/>
          </w:tcPr>
          <w:p w14:paraId="1B0BF315" w14:textId="1D0A410B" w:rsidR="00094EED" w:rsidRDefault="009C71A0">
            <w:r>
              <w:t>10€</w:t>
            </w:r>
          </w:p>
        </w:tc>
        <w:tc>
          <w:tcPr>
            <w:tcW w:w="3118" w:type="dxa"/>
          </w:tcPr>
          <w:p w14:paraId="34792799" w14:textId="272226F9" w:rsidR="00094EED" w:rsidRDefault="005803DD">
            <w:r>
              <w:t>10 €</w:t>
            </w:r>
          </w:p>
        </w:tc>
        <w:tc>
          <w:tcPr>
            <w:tcW w:w="3261" w:type="dxa"/>
          </w:tcPr>
          <w:p w14:paraId="26F0F08D" w14:textId="4A98D8AA" w:rsidR="00094EED" w:rsidRDefault="0084453C">
            <w:r>
              <w:t>30 €</w:t>
            </w:r>
          </w:p>
        </w:tc>
      </w:tr>
      <w:tr w:rsidR="00094EED" w14:paraId="1A4E626C" w14:textId="77777777" w:rsidTr="000775C9">
        <w:tc>
          <w:tcPr>
            <w:tcW w:w="2126" w:type="dxa"/>
          </w:tcPr>
          <w:p w14:paraId="271EF786" w14:textId="4933E2C4" w:rsidR="00094EED" w:rsidRDefault="00094EED">
            <w:r>
              <w:t>Durée/ Conditions de clôture</w:t>
            </w:r>
          </w:p>
        </w:tc>
        <w:tc>
          <w:tcPr>
            <w:tcW w:w="2835" w:type="dxa"/>
          </w:tcPr>
          <w:p w14:paraId="6A0A8BB2" w14:textId="63003F78" w:rsidR="00094EED" w:rsidRDefault="0084453C">
            <w:r>
              <w:t>Durée indéterminée Clôture à l’initiative du client ou de la banque. Décès</w:t>
            </w:r>
            <w:r w:rsidR="005050B3">
              <w:t>.</w:t>
            </w:r>
          </w:p>
        </w:tc>
        <w:tc>
          <w:tcPr>
            <w:tcW w:w="2552" w:type="dxa"/>
          </w:tcPr>
          <w:p w14:paraId="319E1876" w14:textId="5AA85506" w:rsidR="00094EED" w:rsidRDefault="0084453C">
            <w:r>
              <w:t>Durée indéterminée Clôture à l’initiative du client ou de la banque. Décès</w:t>
            </w:r>
          </w:p>
        </w:tc>
        <w:tc>
          <w:tcPr>
            <w:tcW w:w="3118" w:type="dxa"/>
          </w:tcPr>
          <w:p w14:paraId="6DFCD593" w14:textId="77777777" w:rsidR="00094EED" w:rsidRDefault="002D75A6">
            <w:r>
              <w:t>Durée déterminée</w:t>
            </w:r>
          </w:p>
          <w:p w14:paraId="224ED94B" w14:textId="54AB3D4C" w:rsidR="002D75A6" w:rsidRDefault="002D75A6">
            <w:r>
              <w:t xml:space="preserve">Clôture à l’initiative du client </w:t>
            </w:r>
            <w:r w:rsidR="00F6372B">
              <w:t>(changement</w:t>
            </w:r>
            <w:r>
              <w:t xml:space="preserve"> de banque)</w:t>
            </w:r>
          </w:p>
          <w:p w14:paraId="191D36D2" w14:textId="7768FB57" w:rsidR="002D75A6" w:rsidRDefault="002D75A6">
            <w:r>
              <w:t xml:space="preserve">Clôture automatique au 31 décembre de l’année </w:t>
            </w:r>
            <w:r w:rsidR="00F6372B">
              <w:t>du 25</w:t>
            </w:r>
            <w:r w:rsidR="00F6372B" w:rsidRPr="00F6372B">
              <w:rPr>
                <w:vertAlign w:val="superscript"/>
              </w:rPr>
              <w:t>ème</w:t>
            </w:r>
            <w:r w:rsidR="00F6372B">
              <w:t xml:space="preserve"> anniversaire</w:t>
            </w:r>
          </w:p>
        </w:tc>
        <w:tc>
          <w:tcPr>
            <w:tcW w:w="3261" w:type="dxa"/>
          </w:tcPr>
          <w:p w14:paraId="19B3D552" w14:textId="77777777" w:rsidR="00094EED" w:rsidRDefault="00F6372B">
            <w:r>
              <w:t>Clôture à l’initiative du client</w:t>
            </w:r>
          </w:p>
          <w:p w14:paraId="5255DA63" w14:textId="77777777" w:rsidR="00F6372B" w:rsidRDefault="00F6372B">
            <w:r>
              <w:t>Décès</w:t>
            </w:r>
          </w:p>
          <w:p w14:paraId="10CCC280" w14:textId="6D844B2F" w:rsidR="00F6372B" w:rsidRDefault="00CF4C2C">
            <w:r>
              <w:t>Non-respect conditions</w:t>
            </w:r>
            <w:r w:rsidR="00F6372B">
              <w:t xml:space="preserve"> de détention </w:t>
            </w:r>
            <w:r>
              <w:t>(dépassement</w:t>
            </w:r>
            <w:r w:rsidR="00F6372B">
              <w:t xml:space="preserve"> seuil RFR)</w:t>
            </w:r>
          </w:p>
        </w:tc>
      </w:tr>
      <w:tr w:rsidR="00094EED" w14:paraId="66EF5C7B" w14:textId="77777777" w:rsidTr="000775C9">
        <w:tc>
          <w:tcPr>
            <w:tcW w:w="2126" w:type="dxa"/>
            <w:shd w:val="clear" w:color="auto" w:fill="D5DCE4" w:themeFill="text2" w:themeFillTint="33"/>
          </w:tcPr>
          <w:p w14:paraId="7092CD9C" w14:textId="55F59462" w:rsidR="00094EED" w:rsidRPr="00D91DB7" w:rsidRDefault="00094EED">
            <w:pPr>
              <w:rPr>
                <w:b/>
                <w:bCs/>
              </w:rPr>
            </w:pPr>
            <w:r w:rsidRPr="00D91DB7">
              <w:rPr>
                <w:b/>
                <w:bCs/>
              </w:rPr>
              <w:t>FONCTIONNEMENT</w:t>
            </w:r>
          </w:p>
        </w:tc>
        <w:tc>
          <w:tcPr>
            <w:tcW w:w="2835" w:type="dxa"/>
            <w:shd w:val="clear" w:color="auto" w:fill="D5DCE4" w:themeFill="text2" w:themeFillTint="33"/>
          </w:tcPr>
          <w:p w14:paraId="4AE6C172" w14:textId="77777777" w:rsidR="00094EED" w:rsidRPr="00D91DB7" w:rsidRDefault="00094EED">
            <w:pPr>
              <w:rPr>
                <w:b/>
                <w:bCs/>
              </w:rPr>
            </w:pPr>
          </w:p>
        </w:tc>
        <w:tc>
          <w:tcPr>
            <w:tcW w:w="2552" w:type="dxa"/>
            <w:shd w:val="clear" w:color="auto" w:fill="D5DCE4" w:themeFill="text2" w:themeFillTint="33"/>
          </w:tcPr>
          <w:p w14:paraId="11982249" w14:textId="77777777" w:rsidR="00094EED" w:rsidRDefault="00094EED"/>
        </w:tc>
        <w:tc>
          <w:tcPr>
            <w:tcW w:w="3118" w:type="dxa"/>
            <w:shd w:val="clear" w:color="auto" w:fill="D5DCE4" w:themeFill="text2" w:themeFillTint="33"/>
          </w:tcPr>
          <w:p w14:paraId="14680544" w14:textId="77777777" w:rsidR="00094EED" w:rsidRDefault="00094EED"/>
        </w:tc>
        <w:tc>
          <w:tcPr>
            <w:tcW w:w="3261" w:type="dxa"/>
            <w:shd w:val="clear" w:color="auto" w:fill="D5DCE4" w:themeFill="text2" w:themeFillTint="33"/>
          </w:tcPr>
          <w:p w14:paraId="759EC4C3" w14:textId="77777777" w:rsidR="00094EED" w:rsidRDefault="00094EED"/>
        </w:tc>
      </w:tr>
      <w:tr w:rsidR="005E4363" w14:paraId="4D90C55C" w14:textId="77777777" w:rsidTr="000775C9">
        <w:tc>
          <w:tcPr>
            <w:tcW w:w="2126" w:type="dxa"/>
          </w:tcPr>
          <w:p w14:paraId="3898F7AB" w14:textId="2C9C0457" w:rsidR="005E4363" w:rsidRDefault="005E4363" w:rsidP="005E4363">
            <w:r>
              <w:t>Versements /retraits</w:t>
            </w:r>
          </w:p>
        </w:tc>
        <w:tc>
          <w:tcPr>
            <w:tcW w:w="2835" w:type="dxa"/>
          </w:tcPr>
          <w:p w14:paraId="5F621E2E" w14:textId="785F404A" w:rsidR="005E4363" w:rsidRDefault="005E4363" w:rsidP="005E4363">
            <w:r>
              <w:t>Oui min 10€</w:t>
            </w:r>
          </w:p>
        </w:tc>
        <w:tc>
          <w:tcPr>
            <w:tcW w:w="2552" w:type="dxa"/>
          </w:tcPr>
          <w:p w14:paraId="522CBA5A" w14:textId="79324A0B" w:rsidR="005E4363" w:rsidRDefault="005E4363" w:rsidP="005E4363">
            <w:r>
              <w:t>Oui min 10 €</w:t>
            </w:r>
          </w:p>
        </w:tc>
        <w:tc>
          <w:tcPr>
            <w:tcW w:w="3118" w:type="dxa"/>
          </w:tcPr>
          <w:p w14:paraId="18F60143" w14:textId="194F8F3F" w:rsidR="005E4363" w:rsidRDefault="005E4363" w:rsidP="005E4363">
            <w:r>
              <w:t>Oui min 10 €</w:t>
            </w:r>
          </w:p>
        </w:tc>
        <w:tc>
          <w:tcPr>
            <w:tcW w:w="3261" w:type="dxa"/>
          </w:tcPr>
          <w:p w14:paraId="309B36C4" w14:textId="1C37121F" w:rsidR="005E4363" w:rsidRDefault="005E4363" w:rsidP="005E4363">
            <w:r>
              <w:t xml:space="preserve">Min 10 € </w:t>
            </w:r>
          </w:p>
        </w:tc>
      </w:tr>
      <w:tr w:rsidR="005E4363" w14:paraId="105F2EBF" w14:textId="77777777" w:rsidTr="000775C9">
        <w:tc>
          <w:tcPr>
            <w:tcW w:w="2126" w:type="dxa"/>
          </w:tcPr>
          <w:p w14:paraId="7B61D264" w14:textId="0464C296" w:rsidR="005E4363" w:rsidRDefault="005E4363" w:rsidP="005E4363">
            <w:r>
              <w:t>Transfert</w:t>
            </w:r>
          </w:p>
        </w:tc>
        <w:tc>
          <w:tcPr>
            <w:tcW w:w="2835" w:type="dxa"/>
          </w:tcPr>
          <w:p w14:paraId="72D14FE5" w14:textId="769C3071" w:rsidR="005E4363" w:rsidRDefault="005E4363" w:rsidP="005E4363">
            <w:r>
              <w:t>NON</w:t>
            </w:r>
          </w:p>
        </w:tc>
        <w:tc>
          <w:tcPr>
            <w:tcW w:w="2552" w:type="dxa"/>
          </w:tcPr>
          <w:p w14:paraId="62F2F0E9" w14:textId="4466B959" w:rsidR="005E4363" w:rsidRDefault="005E4363" w:rsidP="005E4363">
            <w:r>
              <w:t>NON</w:t>
            </w:r>
          </w:p>
        </w:tc>
        <w:tc>
          <w:tcPr>
            <w:tcW w:w="3118" w:type="dxa"/>
          </w:tcPr>
          <w:p w14:paraId="1D110A11" w14:textId="3C04DC9C" w:rsidR="005E4363" w:rsidRDefault="005E4363" w:rsidP="005E4363">
            <w:r>
              <w:t>NON</w:t>
            </w:r>
          </w:p>
        </w:tc>
        <w:tc>
          <w:tcPr>
            <w:tcW w:w="3261" w:type="dxa"/>
          </w:tcPr>
          <w:p w14:paraId="31BBE579" w14:textId="76A3DB73" w:rsidR="005E4363" w:rsidRDefault="005E4363" w:rsidP="005E4363">
            <w:r>
              <w:t>OUI</w:t>
            </w:r>
          </w:p>
        </w:tc>
      </w:tr>
      <w:tr w:rsidR="005E4363" w14:paraId="5DB4137D" w14:textId="77777777" w:rsidTr="000E338A">
        <w:trPr>
          <w:trHeight w:val="638"/>
        </w:trPr>
        <w:tc>
          <w:tcPr>
            <w:tcW w:w="2126" w:type="dxa"/>
          </w:tcPr>
          <w:p w14:paraId="6F9BAC2E" w14:textId="3F4DC13E" w:rsidR="005E4363" w:rsidRDefault="005E4363" w:rsidP="005E4363">
            <w:r>
              <w:t>Détention par personne</w:t>
            </w:r>
          </w:p>
        </w:tc>
        <w:tc>
          <w:tcPr>
            <w:tcW w:w="2835" w:type="dxa"/>
          </w:tcPr>
          <w:p w14:paraId="42295E24" w14:textId="5AAC4686" w:rsidR="005E4363" w:rsidRDefault="005E4363" w:rsidP="005E4363">
            <w:r>
              <w:t>1 par personne</w:t>
            </w:r>
          </w:p>
        </w:tc>
        <w:tc>
          <w:tcPr>
            <w:tcW w:w="2552" w:type="dxa"/>
          </w:tcPr>
          <w:p w14:paraId="769773F8" w14:textId="77777777" w:rsidR="005E4363" w:rsidRDefault="005E4363" w:rsidP="005E4363">
            <w:r>
              <w:t>1 par personne</w:t>
            </w:r>
          </w:p>
          <w:p w14:paraId="480D679D" w14:textId="54C5F7F0" w:rsidR="005E4363" w:rsidRDefault="005E4363" w:rsidP="005E4363">
            <w:r>
              <w:t>Max 2 par foyer fiscal</w:t>
            </w:r>
          </w:p>
        </w:tc>
        <w:tc>
          <w:tcPr>
            <w:tcW w:w="3118" w:type="dxa"/>
          </w:tcPr>
          <w:p w14:paraId="454CD863" w14:textId="37056613" w:rsidR="005E4363" w:rsidRDefault="005E4363" w:rsidP="005E4363">
            <w:r>
              <w:t>1 par personne</w:t>
            </w:r>
          </w:p>
        </w:tc>
        <w:tc>
          <w:tcPr>
            <w:tcW w:w="3261" w:type="dxa"/>
          </w:tcPr>
          <w:p w14:paraId="6E0E5578" w14:textId="77777777" w:rsidR="005E4363" w:rsidRDefault="005E4363" w:rsidP="005E4363">
            <w:r>
              <w:t>1 par personne</w:t>
            </w:r>
          </w:p>
          <w:p w14:paraId="30162C73" w14:textId="36F1D155" w:rsidR="005E4363" w:rsidRDefault="005E4363" w:rsidP="005E4363">
            <w:r>
              <w:t>Max 2 par foyer fiscal</w:t>
            </w:r>
          </w:p>
        </w:tc>
      </w:tr>
      <w:tr w:rsidR="006D7CE4" w14:paraId="7EE9A66B" w14:textId="77777777" w:rsidTr="003A2CD7">
        <w:trPr>
          <w:trHeight w:val="638"/>
        </w:trPr>
        <w:tc>
          <w:tcPr>
            <w:tcW w:w="2126" w:type="dxa"/>
          </w:tcPr>
          <w:p w14:paraId="07AAD91A" w14:textId="553E93CB" w:rsidR="006D7CE4" w:rsidRDefault="006D7CE4" w:rsidP="005E4363">
            <w:r>
              <w:t>Fiscalité</w:t>
            </w:r>
          </w:p>
        </w:tc>
        <w:tc>
          <w:tcPr>
            <w:tcW w:w="11766" w:type="dxa"/>
            <w:gridSpan w:val="4"/>
          </w:tcPr>
          <w:p w14:paraId="7E543106" w14:textId="08B97E42" w:rsidR="006D7CE4" w:rsidRPr="006D7CE4" w:rsidRDefault="006D7CE4" w:rsidP="006D7CE4">
            <w:pPr>
              <w:jc w:val="center"/>
              <w:rPr>
                <w:b/>
                <w:bCs/>
                <w:sz w:val="32"/>
                <w:szCs w:val="32"/>
              </w:rPr>
            </w:pPr>
            <w:r w:rsidRPr="006D7CE4">
              <w:rPr>
                <w:b/>
                <w:bCs/>
                <w:sz w:val="32"/>
                <w:szCs w:val="32"/>
              </w:rPr>
              <w:t>Aucune : intérêts exonérés de prélèvements fiscaux et sociaux</w:t>
            </w:r>
          </w:p>
        </w:tc>
      </w:tr>
      <w:tr w:rsidR="005E4363" w14:paraId="48221100" w14:textId="77777777" w:rsidTr="000E338A">
        <w:trPr>
          <w:trHeight w:val="638"/>
        </w:trPr>
        <w:tc>
          <w:tcPr>
            <w:tcW w:w="2126" w:type="dxa"/>
          </w:tcPr>
          <w:p w14:paraId="7249F723" w14:textId="359D9356" w:rsidR="005E4363" w:rsidRDefault="005E4363" w:rsidP="005E4363">
            <w:r>
              <w:lastRenderedPageBreak/>
              <w:t>Spécificités</w:t>
            </w:r>
          </w:p>
        </w:tc>
        <w:tc>
          <w:tcPr>
            <w:tcW w:w="2835" w:type="dxa"/>
          </w:tcPr>
          <w:p w14:paraId="1A9AF3B3" w14:textId="3D6644D1" w:rsidR="005E4363" w:rsidRDefault="005E4363" w:rsidP="005E4363">
            <w:r>
              <w:t>Fonds collectés servent au financement du logement social (après centralisation à la CDC)</w:t>
            </w:r>
          </w:p>
        </w:tc>
        <w:tc>
          <w:tcPr>
            <w:tcW w:w="2552" w:type="dxa"/>
          </w:tcPr>
          <w:p w14:paraId="19C77235" w14:textId="44CD2904" w:rsidR="005E4363" w:rsidRDefault="005E4363" w:rsidP="005E4363">
            <w:pPr>
              <w:pStyle w:val="NormalWeb"/>
            </w:pPr>
            <w:r>
              <w:t xml:space="preserve">Les fonds servent au financement des PME, de la transition énergétique ou la réduction de l'empreinte </w:t>
            </w:r>
            <w:r w:rsidR="00151C14">
              <w:t>climatique. Il</w:t>
            </w:r>
            <w:r>
              <w:t xml:space="preserve"> est aussi possible de faire un don à une entreprise de l’économie sociale et solidaire.</w:t>
            </w:r>
          </w:p>
          <w:p w14:paraId="4583E8C7" w14:textId="77777777" w:rsidR="005E4363" w:rsidRDefault="005E4363" w:rsidP="005E4363"/>
        </w:tc>
        <w:tc>
          <w:tcPr>
            <w:tcW w:w="3118" w:type="dxa"/>
          </w:tcPr>
          <w:p w14:paraId="7085F075" w14:textId="07402596" w:rsidR="005E4363" w:rsidRDefault="005E4363" w:rsidP="005E4363">
            <w:r>
              <w:t>Une carte de retrait peut être adossée au livret jeune.</w:t>
            </w:r>
          </w:p>
        </w:tc>
        <w:tc>
          <w:tcPr>
            <w:tcW w:w="3261" w:type="dxa"/>
          </w:tcPr>
          <w:p w14:paraId="5D66B45C" w14:textId="5C08367C" w:rsidR="005E4363" w:rsidRDefault="005E4363" w:rsidP="005E4363">
            <w:r>
              <w:t xml:space="preserve">Il n’est plus nécessaire de communiquer son avis d’imposition à la banque </w:t>
            </w:r>
          </w:p>
        </w:tc>
      </w:tr>
    </w:tbl>
    <w:p w14:paraId="67F0C007" w14:textId="70F7DE73" w:rsidR="0092757C" w:rsidRDefault="00E37C02" w:rsidP="00E37C02">
      <w:r>
        <w:t>Consulter </w:t>
      </w:r>
      <w:hyperlink r:id="rId6" w:history="1">
        <w:r w:rsidR="00CF4C2C" w:rsidRPr="00CF4C2C">
          <w:rPr>
            <w:rStyle w:val="Lienhypertexte"/>
          </w:rPr>
          <w:t>https://particuliers.banque-france.fr/info-banque-assurance/epargne/les-livrets-depargne-bancaire</w:t>
        </w:r>
      </w:hyperlink>
    </w:p>
    <w:p w14:paraId="4E849FBD" w14:textId="5B0FE80D" w:rsidR="007C5D37" w:rsidRDefault="007C5D37" w:rsidP="00E37C02">
      <w:r>
        <w:t>Les conditions d’ouverture du LEP en 202</w:t>
      </w:r>
      <w:r w:rsidR="008D74D4">
        <w:t>4</w:t>
      </w:r>
    </w:p>
    <w:p w14:paraId="08DD2423" w14:textId="2BE9A635" w:rsidR="00395C08" w:rsidRDefault="00395C08" w:rsidP="00E37C02">
      <w:r>
        <w:t xml:space="preserve">Le bénéfice de ce compte sur livret est réservé aux contribuables qui ont leur domicile fiscal en France et dont le montant des revenus n'excède pas les montants mentionnés au I de </w:t>
      </w:r>
      <w:hyperlink r:id="rId7" w:history="1">
        <w:r>
          <w:rPr>
            <w:rStyle w:val="Lienhypertexte"/>
          </w:rPr>
          <w:t xml:space="preserve">l'article 1417 du code général des impôts </w:t>
        </w:r>
      </w:hyperlink>
      <w:r>
        <w:t>affectés d'un coefficient multiplicateur égal à 1,8, le montant obtenu étant arrondi à l'euro supérieur.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7C5D37" w:rsidRPr="007C5D37" w14:paraId="2BDC7272" w14:textId="77777777" w:rsidTr="00EB0ADA">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4A4F5300"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b/>
                <w:bCs/>
                <w:sz w:val="24"/>
                <w:szCs w:val="24"/>
                <w:lang w:eastAsia="fr-FR"/>
              </w:rPr>
              <w:t>Quotient familial</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02FFBD1"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b/>
                <w:bCs/>
                <w:sz w:val="24"/>
                <w:szCs w:val="24"/>
                <w:lang w:eastAsia="fr-FR"/>
              </w:rPr>
              <w:t>Plafond de revenus</w:t>
            </w:r>
          </w:p>
        </w:tc>
      </w:tr>
      <w:tr w:rsidR="007C5D37" w:rsidRPr="007C5D37" w14:paraId="6A232180"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431F3A02"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1 part</w:t>
            </w:r>
          </w:p>
        </w:tc>
        <w:tc>
          <w:tcPr>
            <w:tcW w:w="4530" w:type="dxa"/>
            <w:tcBorders>
              <w:top w:val="outset" w:sz="6" w:space="0" w:color="auto"/>
              <w:left w:val="outset" w:sz="6" w:space="0" w:color="auto"/>
              <w:bottom w:val="outset" w:sz="6" w:space="0" w:color="auto"/>
              <w:right w:val="outset" w:sz="6" w:space="0" w:color="auto"/>
            </w:tcBorders>
            <w:vAlign w:val="center"/>
          </w:tcPr>
          <w:p w14:paraId="20013A37" w14:textId="2B292CB2" w:rsidR="007C5D37" w:rsidRPr="007C5D37" w:rsidRDefault="006C6002"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22 419 €</w:t>
            </w:r>
          </w:p>
        </w:tc>
      </w:tr>
      <w:tr w:rsidR="007C5D37" w:rsidRPr="007C5D37" w14:paraId="43885632"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0C91D50"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1,5 part</w:t>
            </w:r>
          </w:p>
        </w:tc>
        <w:tc>
          <w:tcPr>
            <w:tcW w:w="4530" w:type="dxa"/>
            <w:tcBorders>
              <w:top w:val="outset" w:sz="6" w:space="0" w:color="auto"/>
              <w:left w:val="outset" w:sz="6" w:space="0" w:color="auto"/>
              <w:bottom w:val="outset" w:sz="6" w:space="0" w:color="auto"/>
              <w:right w:val="outset" w:sz="6" w:space="0" w:color="auto"/>
            </w:tcBorders>
            <w:vAlign w:val="center"/>
          </w:tcPr>
          <w:p w14:paraId="1E7682E5" w14:textId="6FD43AC9"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28 406 €</w:t>
            </w:r>
          </w:p>
        </w:tc>
      </w:tr>
      <w:tr w:rsidR="007C5D37" w:rsidRPr="007C5D37" w14:paraId="4F576C9C"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05F8F2F"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2 parts</w:t>
            </w:r>
          </w:p>
        </w:tc>
        <w:tc>
          <w:tcPr>
            <w:tcW w:w="4530" w:type="dxa"/>
            <w:tcBorders>
              <w:top w:val="outset" w:sz="6" w:space="0" w:color="auto"/>
              <w:left w:val="outset" w:sz="6" w:space="0" w:color="auto"/>
              <w:bottom w:val="outset" w:sz="6" w:space="0" w:color="auto"/>
              <w:right w:val="outset" w:sz="6" w:space="0" w:color="auto"/>
            </w:tcBorders>
            <w:vAlign w:val="center"/>
          </w:tcPr>
          <w:p w14:paraId="4D04E1CE" w14:textId="2A359AE7"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34 3923 €</w:t>
            </w:r>
          </w:p>
        </w:tc>
      </w:tr>
      <w:tr w:rsidR="007C5D37" w:rsidRPr="007C5D37" w14:paraId="4156C772"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7EE6F2A"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2,5 parts</w:t>
            </w:r>
          </w:p>
        </w:tc>
        <w:tc>
          <w:tcPr>
            <w:tcW w:w="4530" w:type="dxa"/>
            <w:tcBorders>
              <w:top w:val="outset" w:sz="6" w:space="0" w:color="auto"/>
              <w:left w:val="outset" w:sz="6" w:space="0" w:color="auto"/>
              <w:bottom w:val="outset" w:sz="6" w:space="0" w:color="auto"/>
              <w:right w:val="outset" w:sz="6" w:space="0" w:color="auto"/>
            </w:tcBorders>
            <w:vAlign w:val="center"/>
          </w:tcPr>
          <w:p w14:paraId="412B9DF0" w14:textId="6343947C"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40 380 €</w:t>
            </w:r>
          </w:p>
        </w:tc>
      </w:tr>
      <w:tr w:rsidR="007C5D37" w:rsidRPr="007C5D37" w14:paraId="4D0C4373"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392E304A"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3 parts</w:t>
            </w:r>
          </w:p>
        </w:tc>
        <w:tc>
          <w:tcPr>
            <w:tcW w:w="4530" w:type="dxa"/>
            <w:tcBorders>
              <w:top w:val="outset" w:sz="6" w:space="0" w:color="auto"/>
              <w:left w:val="outset" w:sz="6" w:space="0" w:color="auto"/>
              <w:bottom w:val="outset" w:sz="6" w:space="0" w:color="auto"/>
              <w:right w:val="outset" w:sz="6" w:space="0" w:color="auto"/>
            </w:tcBorders>
            <w:vAlign w:val="center"/>
          </w:tcPr>
          <w:p w14:paraId="3BFF527C" w14:textId="4BE0BA9F"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46 367 €</w:t>
            </w:r>
          </w:p>
        </w:tc>
      </w:tr>
      <w:tr w:rsidR="007C5D37" w:rsidRPr="007C5D37" w14:paraId="3BFCDCA0"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A847BE6"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3,5 parts</w:t>
            </w:r>
          </w:p>
        </w:tc>
        <w:tc>
          <w:tcPr>
            <w:tcW w:w="4530" w:type="dxa"/>
            <w:tcBorders>
              <w:top w:val="outset" w:sz="6" w:space="0" w:color="auto"/>
              <w:left w:val="outset" w:sz="6" w:space="0" w:color="auto"/>
              <w:bottom w:val="outset" w:sz="6" w:space="0" w:color="auto"/>
              <w:right w:val="outset" w:sz="6" w:space="0" w:color="auto"/>
            </w:tcBorders>
            <w:vAlign w:val="center"/>
          </w:tcPr>
          <w:p w14:paraId="779220AF" w14:textId="7B729108"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52 354 €</w:t>
            </w:r>
          </w:p>
        </w:tc>
      </w:tr>
      <w:tr w:rsidR="007C5D37" w:rsidRPr="007C5D37" w14:paraId="4AE04615"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EA8B41F"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4 parts</w:t>
            </w:r>
          </w:p>
        </w:tc>
        <w:tc>
          <w:tcPr>
            <w:tcW w:w="4530" w:type="dxa"/>
            <w:tcBorders>
              <w:top w:val="outset" w:sz="6" w:space="0" w:color="auto"/>
              <w:left w:val="outset" w:sz="6" w:space="0" w:color="auto"/>
              <w:bottom w:val="outset" w:sz="6" w:space="0" w:color="auto"/>
              <w:right w:val="outset" w:sz="6" w:space="0" w:color="auto"/>
            </w:tcBorders>
            <w:vAlign w:val="center"/>
          </w:tcPr>
          <w:p w14:paraId="59130CD6" w14:textId="52889707"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58 341 €</w:t>
            </w:r>
          </w:p>
        </w:tc>
      </w:tr>
      <w:tr w:rsidR="007C5D37" w:rsidRPr="007C5D37" w14:paraId="3E53C575" w14:textId="77777777" w:rsidTr="008F0330">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18ED7364" w14:textId="77777777" w:rsidR="007C5D37" w:rsidRPr="007C5D37" w:rsidRDefault="007C5D37"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C5D37">
              <w:rPr>
                <w:rFonts w:ascii="Times New Roman" w:eastAsia="Times New Roman" w:hAnsi="Times New Roman" w:cs="Times New Roman"/>
                <w:sz w:val="24"/>
                <w:szCs w:val="24"/>
                <w:lang w:eastAsia="fr-FR"/>
              </w:rPr>
              <w:t>Par demi-part supplémentaire</w:t>
            </w:r>
          </w:p>
        </w:tc>
        <w:tc>
          <w:tcPr>
            <w:tcW w:w="4530" w:type="dxa"/>
            <w:tcBorders>
              <w:top w:val="outset" w:sz="6" w:space="0" w:color="auto"/>
              <w:left w:val="outset" w:sz="6" w:space="0" w:color="auto"/>
              <w:bottom w:val="outset" w:sz="6" w:space="0" w:color="auto"/>
              <w:right w:val="outset" w:sz="6" w:space="0" w:color="auto"/>
            </w:tcBorders>
            <w:vAlign w:val="center"/>
          </w:tcPr>
          <w:p w14:paraId="68707C0C" w14:textId="4C9102A5" w:rsidR="007C5D37" w:rsidRPr="007C5D37" w:rsidRDefault="008D74D4" w:rsidP="008D74D4">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5 987 €</w:t>
            </w:r>
          </w:p>
        </w:tc>
      </w:tr>
    </w:tbl>
    <w:p w14:paraId="39838E65" w14:textId="77777777" w:rsidR="007C5D37" w:rsidRDefault="007C5D37" w:rsidP="00E37C02"/>
    <w:sectPr w:rsidR="007C5D37" w:rsidSect="00D91DB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F844" w14:textId="77777777" w:rsidR="000F522B" w:rsidRDefault="000F522B" w:rsidP="00E37C02">
      <w:pPr>
        <w:spacing w:after="0" w:line="240" w:lineRule="auto"/>
      </w:pPr>
      <w:r>
        <w:separator/>
      </w:r>
    </w:p>
  </w:endnote>
  <w:endnote w:type="continuationSeparator" w:id="0">
    <w:p w14:paraId="3BCE4694" w14:textId="77777777" w:rsidR="000F522B" w:rsidRDefault="000F522B" w:rsidP="00E3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5A38" w14:textId="77777777" w:rsidR="000F522B" w:rsidRDefault="000F522B" w:rsidP="00E37C02">
      <w:pPr>
        <w:spacing w:after="0" w:line="240" w:lineRule="auto"/>
      </w:pPr>
      <w:r>
        <w:separator/>
      </w:r>
    </w:p>
  </w:footnote>
  <w:footnote w:type="continuationSeparator" w:id="0">
    <w:p w14:paraId="755798D0" w14:textId="77777777" w:rsidR="000F522B" w:rsidRDefault="000F522B" w:rsidP="00E37C02">
      <w:pPr>
        <w:spacing w:after="0" w:line="240" w:lineRule="auto"/>
      </w:pPr>
      <w:r>
        <w:continuationSeparator/>
      </w:r>
    </w:p>
  </w:footnote>
  <w:footnote w:id="1">
    <w:p w14:paraId="52E91587" w14:textId="53220D46" w:rsidR="00E37C02" w:rsidRDefault="00E37C02">
      <w:pPr>
        <w:pStyle w:val="Notedebasdepage"/>
      </w:pPr>
      <w:r>
        <w:rPr>
          <w:rStyle w:val="Appelnotedebasdep"/>
        </w:rPr>
        <w:footnoteRef/>
      </w:r>
      <w:r>
        <w:t xml:space="preserve">  </w:t>
      </w:r>
      <w:hyperlink r:id="rId1" w:anchor="LEGISCTA000006154340" w:history="1">
        <w:r w:rsidRPr="00EC13FF">
          <w:rPr>
            <w:rStyle w:val="Lienhypertexte"/>
          </w:rPr>
          <w:t>Article L 221 -3 CMF</w:t>
        </w:r>
      </w:hyperlink>
      <w:r>
        <w:t xml:space="preserve"> Les mineurs sont admis à se faire ouvrir des livrets A sans l'intervention de leur représentant légal. Ils peuvent retirer, sans cette intervention, les sommes figurant sur les livrets ainsi ouverts, mais seulement après l'âge de seize ans révolus et sauf opposition de la part de leur représentant légal </w:t>
      </w:r>
    </w:p>
  </w:footnote>
  <w:footnote w:id="2">
    <w:p w14:paraId="3FE2AFE9" w14:textId="32F8292E" w:rsidR="00F2361C" w:rsidRDefault="00F2361C">
      <w:pPr>
        <w:pStyle w:val="Notedebasdepage"/>
      </w:pPr>
      <w:r>
        <w:rPr>
          <w:rStyle w:val="Appelnotedebasdep"/>
        </w:rPr>
        <w:footnoteRef/>
      </w:r>
      <w:r>
        <w:t xml:space="preserve"> Un mineur ne peut pas </w:t>
      </w:r>
      <w:r w:rsidR="00BD1909">
        <w:t>ouvrir de LDDS sauf à être fiscalement indépendant.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ED"/>
    <w:rsid w:val="00022C94"/>
    <w:rsid w:val="00027011"/>
    <w:rsid w:val="00043979"/>
    <w:rsid w:val="000775C9"/>
    <w:rsid w:val="00094EED"/>
    <w:rsid w:val="000D367A"/>
    <w:rsid w:val="000E338A"/>
    <w:rsid w:val="000F522B"/>
    <w:rsid w:val="00124DED"/>
    <w:rsid w:val="001417B6"/>
    <w:rsid w:val="00151C14"/>
    <w:rsid w:val="002D75A6"/>
    <w:rsid w:val="0039103C"/>
    <w:rsid w:val="00395C08"/>
    <w:rsid w:val="005050B3"/>
    <w:rsid w:val="00533370"/>
    <w:rsid w:val="00557990"/>
    <w:rsid w:val="00561051"/>
    <w:rsid w:val="005803DD"/>
    <w:rsid w:val="005E4363"/>
    <w:rsid w:val="006C6002"/>
    <w:rsid w:val="006C6203"/>
    <w:rsid w:val="006D7CE4"/>
    <w:rsid w:val="007A79C7"/>
    <w:rsid w:val="007C5D37"/>
    <w:rsid w:val="008301C3"/>
    <w:rsid w:val="0084453C"/>
    <w:rsid w:val="008448E8"/>
    <w:rsid w:val="008A4811"/>
    <w:rsid w:val="008D74D4"/>
    <w:rsid w:val="008F0330"/>
    <w:rsid w:val="0092757C"/>
    <w:rsid w:val="009A5E91"/>
    <w:rsid w:val="009C71A0"/>
    <w:rsid w:val="00B23080"/>
    <w:rsid w:val="00B378A1"/>
    <w:rsid w:val="00B74D63"/>
    <w:rsid w:val="00BD1909"/>
    <w:rsid w:val="00CD6637"/>
    <w:rsid w:val="00CF4C2C"/>
    <w:rsid w:val="00D91DB7"/>
    <w:rsid w:val="00E37C02"/>
    <w:rsid w:val="00E82D3E"/>
    <w:rsid w:val="00EB0ADA"/>
    <w:rsid w:val="00EC13FF"/>
    <w:rsid w:val="00EE7BF3"/>
    <w:rsid w:val="00F077A3"/>
    <w:rsid w:val="00F2361C"/>
    <w:rsid w:val="00F6372B"/>
    <w:rsid w:val="00FC4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A002"/>
  <w15:chartTrackingRefBased/>
  <w15:docId w15:val="{79E0E58F-5BAD-4760-BB35-6FEA61B4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9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775C9"/>
    <w:rPr>
      <w:color w:val="0563C1" w:themeColor="hyperlink"/>
      <w:u w:val="single"/>
    </w:rPr>
  </w:style>
  <w:style w:type="character" w:styleId="Mentionnonrsolue">
    <w:name w:val="Unresolved Mention"/>
    <w:basedOn w:val="Policepardfaut"/>
    <w:uiPriority w:val="99"/>
    <w:semiHidden/>
    <w:unhideWhenUsed/>
    <w:rsid w:val="000775C9"/>
    <w:rPr>
      <w:color w:val="605E5C"/>
      <w:shd w:val="clear" w:color="auto" w:fill="E1DFDD"/>
    </w:rPr>
  </w:style>
  <w:style w:type="paragraph" w:styleId="Notedebasdepage">
    <w:name w:val="footnote text"/>
    <w:basedOn w:val="Normal"/>
    <w:link w:val="NotedebasdepageCar"/>
    <w:uiPriority w:val="99"/>
    <w:semiHidden/>
    <w:unhideWhenUsed/>
    <w:rsid w:val="00E37C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7C02"/>
    <w:rPr>
      <w:sz w:val="20"/>
      <w:szCs w:val="20"/>
    </w:rPr>
  </w:style>
  <w:style w:type="character" w:styleId="Appelnotedebasdep">
    <w:name w:val="footnote reference"/>
    <w:basedOn w:val="Policepardfaut"/>
    <w:uiPriority w:val="99"/>
    <w:semiHidden/>
    <w:unhideWhenUsed/>
    <w:rsid w:val="00E37C02"/>
    <w:rPr>
      <w:vertAlign w:val="superscript"/>
    </w:rPr>
  </w:style>
  <w:style w:type="paragraph" w:styleId="NormalWeb">
    <w:name w:val="Normal (Web)"/>
    <w:basedOn w:val="Normal"/>
    <w:uiPriority w:val="99"/>
    <w:semiHidden/>
    <w:unhideWhenUsed/>
    <w:rsid w:val="007C5D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5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3006">
      <w:bodyDiv w:val="1"/>
      <w:marLeft w:val="0"/>
      <w:marRight w:val="0"/>
      <w:marTop w:val="0"/>
      <w:marBottom w:val="0"/>
      <w:divBdr>
        <w:top w:val="none" w:sz="0" w:space="0" w:color="auto"/>
        <w:left w:val="none" w:sz="0" w:space="0" w:color="auto"/>
        <w:bottom w:val="none" w:sz="0" w:space="0" w:color="auto"/>
        <w:right w:val="none" w:sz="0" w:space="0" w:color="auto"/>
      </w:divBdr>
    </w:div>
    <w:div w:id="19837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69577&amp;idArticle=LEGIARTI000006306111&amp;dateTexte=&amp;categorieLi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iculiers.banque-france.fr/info-banque-assurance/epargne/les-livrets-depargne-bancai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section_lc/LEGITEXT000006072026/LEGISCTA000006154340/2022-07-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Monnier</dc:creator>
  <cp:keywords/>
  <dc:description/>
  <cp:lastModifiedBy>Philippe Monnier</cp:lastModifiedBy>
  <cp:revision>2</cp:revision>
  <cp:lastPrinted>2023-09-17T09:38:00Z</cp:lastPrinted>
  <dcterms:created xsi:type="dcterms:W3CDTF">2024-01-22T13:19:00Z</dcterms:created>
  <dcterms:modified xsi:type="dcterms:W3CDTF">2024-01-22T13:19:00Z</dcterms:modified>
</cp:coreProperties>
</file>